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21F22" w14:textId="77777777" w:rsidR="00F929B5" w:rsidRDefault="00F929B5">
      <w:pPr>
        <w:ind w:left="6100"/>
        <w:rPr>
          <w:rFonts w:eastAsia="Times New Roman"/>
          <w:b/>
          <w:bCs/>
          <w:sz w:val="27"/>
          <w:szCs w:val="27"/>
        </w:rPr>
      </w:pPr>
    </w:p>
    <w:p w14:paraId="560957A2" w14:textId="77777777" w:rsidR="00F929B5" w:rsidRDefault="00F929B5">
      <w:pPr>
        <w:ind w:left="6100"/>
        <w:rPr>
          <w:rFonts w:eastAsia="Times New Roman"/>
          <w:b/>
          <w:bCs/>
          <w:sz w:val="27"/>
          <w:szCs w:val="27"/>
        </w:rPr>
      </w:pPr>
    </w:p>
    <w:p w14:paraId="0AA433EC" w14:textId="615A089D" w:rsidR="00B20398" w:rsidRDefault="00000000">
      <w:pPr>
        <w:ind w:left="610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>Załącznik Nr 1</w:t>
      </w:r>
      <w:r w:rsidR="00A218E9">
        <w:rPr>
          <w:rFonts w:eastAsia="Times New Roman"/>
          <w:b/>
          <w:bCs/>
          <w:sz w:val="27"/>
          <w:szCs w:val="27"/>
        </w:rPr>
        <w:t>3</w:t>
      </w:r>
      <w:r>
        <w:rPr>
          <w:rFonts w:eastAsia="Times New Roman"/>
          <w:b/>
          <w:bCs/>
          <w:sz w:val="27"/>
          <w:szCs w:val="27"/>
        </w:rPr>
        <w:t xml:space="preserve"> do SWZ</w:t>
      </w:r>
    </w:p>
    <w:p w14:paraId="58688C38" w14:textId="77777777" w:rsidR="00B20398" w:rsidRDefault="00B20398">
      <w:pPr>
        <w:spacing w:line="288" w:lineRule="exact"/>
        <w:rPr>
          <w:sz w:val="24"/>
          <w:szCs w:val="24"/>
        </w:rPr>
      </w:pPr>
    </w:p>
    <w:p w14:paraId="3DD835FB" w14:textId="77777777" w:rsidR="00B20398" w:rsidRDefault="00000000">
      <w:pPr>
        <w:ind w:left="20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Zasada DNSH – wytyczne dla Wykonawcy</w:t>
      </w:r>
    </w:p>
    <w:p w14:paraId="2A9BBEC5" w14:textId="77777777" w:rsidR="00B20398" w:rsidRDefault="00B20398">
      <w:pPr>
        <w:spacing w:line="400" w:lineRule="exact"/>
        <w:rPr>
          <w:sz w:val="24"/>
          <w:szCs w:val="24"/>
        </w:rPr>
      </w:pPr>
    </w:p>
    <w:p w14:paraId="33F24437" w14:textId="77777777" w:rsidR="00B20398" w:rsidRDefault="00000000">
      <w:pPr>
        <w:spacing w:line="28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Zasada DNSH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(„nie czyń poważnej szkody”; ang. „Do No Significant Harm”)</w:t>
      </w:r>
      <w:r>
        <w:rPr>
          <w:rFonts w:eastAsia="Times New Roman"/>
          <w:sz w:val="24"/>
          <w:szCs w:val="24"/>
        </w:rPr>
        <w:t xml:space="preserve"> jest zasadą dotyczącą niewspierania ani nieprowadzenia działalności gospodarczej, która powoduje znaczące szkody (poważne szkody, posiada znaczący negatywny wpływ) dla któregokolwiek z celów środowiskowych takich jak:</w:t>
      </w:r>
    </w:p>
    <w:p w14:paraId="702FB1BE" w14:textId="77777777" w:rsidR="00B20398" w:rsidRDefault="00B20398">
      <w:pPr>
        <w:spacing w:line="3" w:lineRule="exact"/>
        <w:rPr>
          <w:sz w:val="24"/>
          <w:szCs w:val="24"/>
        </w:rPr>
      </w:pPr>
    </w:p>
    <w:p w14:paraId="70C2B5F7" w14:textId="77777777" w:rsidR="00B20398" w:rsidRDefault="00000000">
      <w:pPr>
        <w:numPr>
          <w:ilvl w:val="0"/>
          <w:numId w:val="1"/>
        </w:numPr>
        <w:tabs>
          <w:tab w:val="left" w:pos="260"/>
        </w:tabs>
        <w:ind w:left="260" w:hanging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łagodzenie zmian klimatu,</w:t>
      </w:r>
    </w:p>
    <w:p w14:paraId="78CBACF4" w14:textId="77777777" w:rsidR="00B20398" w:rsidRDefault="00B20398">
      <w:pPr>
        <w:spacing w:line="54" w:lineRule="exact"/>
        <w:rPr>
          <w:rFonts w:eastAsia="Times New Roman"/>
          <w:sz w:val="24"/>
          <w:szCs w:val="24"/>
        </w:rPr>
      </w:pPr>
    </w:p>
    <w:p w14:paraId="38B6FFF5" w14:textId="77777777" w:rsidR="00B20398" w:rsidRDefault="00000000">
      <w:pPr>
        <w:numPr>
          <w:ilvl w:val="0"/>
          <w:numId w:val="1"/>
        </w:numPr>
        <w:tabs>
          <w:tab w:val="left" w:pos="260"/>
        </w:tabs>
        <w:ind w:left="260" w:hanging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adaptacja do zmian klimatu,</w:t>
      </w:r>
    </w:p>
    <w:p w14:paraId="5F862275" w14:textId="77777777" w:rsidR="00B20398" w:rsidRDefault="00B20398">
      <w:pPr>
        <w:spacing w:line="56" w:lineRule="exact"/>
        <w:rPr>
          <w:rFonts w:eastAsia="Times New Roman"/>
          <w:sz w:val="24"/>
          <w:szCs w:val="24"/>
        </w:rPr>
      </w:pPr>
    </w:p>
    <w:p w14:paraId="37E4D525" w14:textId="77777777" w:rsidR="00B20398" w:rsidRDefault="00000000">
      <w:pPr>
        <w:numPr>
          <w:ilvl w:val="0"/>
          <w:numId w:val="1"/>
        </w:numPr>
        <w:tabs>
          <w:tab w:val="left" w:pos="260"/>
        </w:tabs>
        <w:ind w:left="260" w:hanging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zrównoważone wykorzystanie i ochrona zasobów wodnych i morskich,</w:t>
      </w:r>
    </w:p>
    <w:p w14:paraId="60D1C2D5" w14:textId="77777777" w:rsidR="00B20398" w:rsidRDefault="00B20398">
      <w:pPr>
        <w:spacing w:line="54" w:lineRule="exact"/>
        <w:rPr>
          <w:rFonts w:eastAsia="Times New Roman"/>
          <w:sz w:val="24"/>
          <w:szCs w:val="24"/>
        </w:rPr>
      </w:pPr>
    </w:p>
    <w:p w14:paraId="6A2C4FC6" w14:textId="77777777" w:rsidR="00B20398" w:rsidRDefault="00000000">
      <w:pPr>
        <w:numPr>
          <w:ilvl w:val="0"/>
          <w:numId w:val="1"/>
        </w:numPr>
        <w:tabs>
          <w:tab w:val="left" w:pos="260"/>
        </w:tabs>
        <w:ind w:left="260" w:hanging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gospodarka o obiegu zamkniętym,</w:t>
      </w:r>
    </w:p>
    <w:p w14:paraId="40FD5C6F" w14:textId="77777777" w:rsidR="00B20398" w:rsidRDefault="00B20398">
      <w:pPr>
        <w:spacing w:line="56" w:lineRule="exact"/>
        <w:rPr>
          <w:rFonts w:eastAsia="Times New Roman"/>
          <w:sz w:val="24"/>
          <w:szCs w:val="24"/>
        </w:rPr>
      </w:pPr>
    </w:p>
    <w:p w14:paraId="52CFF1AE" w14:textId="77777777" w:rsidR="00B20398" w:rsidRDefault="00000000">
      <w:pPr>
        <w:numPr>
          <w:ilvl w:val="0"/>
          <w:numId w:val="1"/>
        </w:numPr>
        <w:tabs>
          <w:tab w:val="left" w:pos="260"/>
        </w:tabs>
        <w:ind w:left="260" w:hanging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zapobieganie zanieczyszczeniu i jego kontroli,</w:t>
      </w:r>
    </w:p>
    <w:p w14:paraId="0E777482" w14:textId="77777777" w:rsidR="00B20398" w:rsidRDefault="00B20398">
      <w:pPr>
        <w:spacing w:line="54" w:lineRule="exact"/>
        <w:rPr>
          <w:rFonts w:eastAsia="Times New Roman"/>
          <w:sz w:val="24"/>
          <w:szCs w:val="24"/>
        </w:rPr>
      </w:pPr>
    </w:p>
    <w:p w14:paraId="17BD5FF8" w14:textId="77777777" w:rsidR="00B20398" w:rsidRDefault="00000000">
      <w:pPr>
        <w:numPr>
          <w:ilvl w:val="0"/>
          <w:numId w:val="1"/>
        </w:numPr>
        <w:tabs>
          <w:tab w:val="left" w:pos="260"/>
        </w:tabs>
        <w:ind w:left="260" w:hanging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ochrona i odbudowa bioróżnorodności i ekosystemów.</w:t>
      </w:r>
    </w:p>
    <w:p w14:paraId="57175E2C" w14:textId="77777777" w:rsidR="00B20398" w:rsidRDefault="00B20398">
      <w:pPr>
        <w:spacing w:line="382" w:lineRule="exact"/>
        <w:rPr>
          <w:sz w:val="24"/>
          <w:szCs w:val="24"/>
        </w:rPr>
      </w:pPr>
    </w:p>
    <w:p w14:paraId="368496DA" w14:textId="77777777" w:rsidR="00B20398" w:rsidRDefault="00000000">
      <w:pPr>
        <w:spacing w:line="289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Roboty budowlane należy prowadzić zgodnie z </w:t>
      </w:r>
      <w:r>
        <w:rPr>
          <w:rFonts w:eastAsia="Times New Roman"/>
          <w:b/>
          <w:bCs/>
          <w:sz w:val="24"/>
          <w:szCs w:val="24"/>
        </w:rPr>
        <w:t>zasadą DNSH</w:t>
      </w:r>
      <w:r>
        <w:rPr>
          <w:rFonts w:eastAsia="Times New Roman"/>
          <w:sz w:val="24"/>
          <w:szCs w:val="24"/>
        </w:rPr>
        <w:t xml:space="preserve"> („nie czyń poważnej szkody”), której wymóg wynika z:</w:t>
      </w:r>
    </w:p>
    <w:p w14:paraId="179BED02" w14:textId="77777777" w:rsidR="00B20398" w:rsidRDefault="00B20398">
      <w:pPr>
        <w:spacing w:line="1" w:lineRule="exact"/>
        <w:rPr>
          <w:sz w:val="24"/>
          <w:szCs w:val="24"/>
        </w:rPr>
      </w:pPr>
    </w:p>
    <w:p w14:paraId="53E027F6" w14:textId="77777777" w:rsidR="00B20398" w:rsidRDefault="00000000">
      <w:pPr>
        <w:numPr>
          <w:ilvl w:val="0"/>
          <w:numId w:val="2"/>
        </w:numPr>
        <w:tabs>
          <w:tab w:val="left" w:pos="640"/>
        </w:tabs>
        <w:spacing w:line="289" w:lineRule="auto"/>
        <w:ind w:left="64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Rozporządzenia Parlamentu Europejskiego i Rady (UE) 2021/241 z dnia 12 lutego 2021r. ustanawiającego Instrument na Rzecz Odbudowy i Zwiększania Odporności.</w:t>
      </w:r>
    </w:p>
    <w:p w14:paraId="5969F816" w14:textId="77777777" w:rsidR="00B20398" w:rsidRDefault="00B20398">
      <w:pPr>
        <w:spacing w:line="1" w:lineRule="exact"/>
        <w:rPr>
          <w:rFonts w:eastAsia="Times New Roman"/>
          <w:sz w:val="24"/>
          <w:szCs w:val="24"/>
        </w:rPr>
      </w:pPr>
    </w:p>
    <w:p w14:paraId="515F3729" w14:textId="77777777" w:rsidR="00B20398" w:rsidRDefault="00B20398">
      <w:pPr>
        <w:ind w:left="760"/>
        <w:rPr>
          <w:rFonts w:eastAsia="Times New Roman"/>
          <w:i/>
          <w:iCs/>
          <w:color w:val="2E74B5"/>
          <w:sz w:val="24"/>
          <w:szCs w:val="24"/>
          <w:u w:val="single"/>
        </w:rPr>
      </w:pPr>
      <w:hyperlink r:id="rId7">
        <w:r>
          <w:rPr>
            <w:rFonts w:eastAsia="Times New Roman"/>
            <w:i/>
            <w:iCs/>
            <w:color w:val="2E74B5"/>
            <w:sz w:val="24"/>
            <w:szCs w:val="24"/>
            <w:u w:val="single"/>
          </w:rPr>
          <w:t>https://eur-lex.europa.eu/legal-content/PL/TXT/?uri=CELEX%3A32021R0241</w:t>
        </w:r>
      </w:hyperlink>
    </w:p>
    <w:p w14:paraId="4CD4118F" w14:textId="77777777" w:rsidR="00B20398" w:rsidRDefault="00B20398">
      <w:pPr>
        <w:spacing w:line="382" w:lineRule="exact"/>
        <w:rPr>
          <w:rFonts w:eastAsia="Times New Roman"/>
          <w:i/>
          <w:iCs/>
          <w:color w:val="2E74B5"/>
          <w:sz w:val="24"/>
          <w:szCs w:val="24"/>
          <w:u w:val="single"/>
        </w:rPr>
      </w:pPr>
    </w:p>
    <w:p w14:paraId="7EB289D7" w14:textId="77777777" w:rsidR="00B20398" w:rsidRDefault="00000000">
      <w:pPr>
        <w:numPr>
          <w:ilvl w:val="0"/>
          <w:numId w:val="2"/>
        </w:numPr>
        <w:tabs>
          <w:tab w:val="left" w:pos="640"/>
        </w:tabs>
        <w:spacing w:line="301" w:lineRule="auto"/>
        <w:ind w:left="640" w:hanging="354"/>
        <w:rPr>
          <w:rFonts w:eastAsia="Times New Roman"/>
          <w:i/>
          <w:iCs/>
          <w:color w:val="2E74B5"/>
          <w:sz w:val="24"/>
          <w:szCs w:val="24"/>
          <w:u w:val="single"/>
        </w:rPr>
      </w:pPr>
      <w:r>
        <w:rPr>
          <w:rFonts w:eastAsia="Times New Roman"/>
          <w:sz w:val="24"/>
          <w:szCs w:val="24"/>
        </w:rPr>
        <w:t xml:space="preserve">Rozporządzenia Parlamentu Europejskiego i Rady (UE) 2020/852 z dnia 18 czerwca 2020r. w sprawie ustanowienia ram ułatwiających zrównoważone inwestycje, zmieniające rozporządzenie (UE) 2019/2088 </w:t>
      </w:r>
      <w:hyperlink r:id="rId8">
        <w:r w:rsidR="00B20398">
          <w:rPr>
            <w:rFonts w:eastAsia="Times New Roman"/>
            <w:i/>
            <w:iCs/>
            <w:color w:val="2E74B5"/>
            <w:sz w:val="24"/>
            <w:szCs w:val="24"/>
            <w:u w:val="single"/>
          </w:rPr>
          <w:t>https://eur-lex.europa.eu/legal-content/PL/TXT/?uri=CELEX%3A32020R0852</w:t>
        </w:r>
      </w:hyperlink>
    </w:p>
    <w:p w14:paraId="225EF6B7" w14:textId="77777777" w:rsidR="00B20398" w:rsidRDefault="00B20398">
      <w:pPr>
        <w:spacing w:line="272" w:lineRule="exact"/>
        <w:rPr>
          <w:rFonts w:eastAsia="Times New Roman"/>
          <w:sz w:val="24"/>
          <w:szCs w:val="24"/>
        </w:rPr>
      </w:pPr>
    </w:p>
    <w:p w14:paraId="302B9CD4" w14:textId="77777777" w:rsidR="00B20398" w:rsidRDefault="00000000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Dla potwierdzenia spełnienia powyższej zasady Wykonawca zobowiązany będzie m.in. do:</w:t>
      </w:r>
    </w:p>
    <w:p w14:paraId="142C3C66" w14:textId="77777777" w:rsidR="00B20398" w:rsidRDefault="00B20398">
      <w:pPr>
        <w:spacing w:line="54" w:lineRule="exact"/>
        <w:rPr>
          <w:rFonts w:eastAsia="Times New Roman"/>
          <w:sz w:val="24"/>
          <w:szCs w:val="24"/>
        </w:rPr>
      </w:pPr>
    </w:p>
    <w:p w14:paraId="0015BE32" w14:textId="77777777" w:rsidR="00B20398" w:rsidRDefault="00000000">
      <w:pPr>
        <w:numPr>
          <w:ilvl w:val="0"/>
          <w:numId w:val="3"/>
        </w:numPr>
        <w:tabs>
          <w:tab w:val="left" w:pos="720"/>
        </w:tabs>
        <w:ind w:left="720" w:hanging="360"/>
        <w:rPr>
          <w:rFonts w:ascii="Arial" w:eastAsia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przestrzegania obowiązujących przepisów dot. ochrony środowiska na etapie budowy,</w:t>
      </w:r>
    </w:p>
    <w:p w14:paraId="5D2E2CEC" w14:textId="77777777" w:rsidR="00B20398" w:rsidRDefault="00B20398">
      <w:pPr>
        <w:spacing w:line="54" w:lineRule="exact"/>
        <w:rPr>
          <w:rFonts w:ascii="Arial" w:eastAsia="Arial" w:hAnsi="Arial" w:cs="Arial"/>
          <w:sz w:val="24"/>
          <w:szCs w:val="24"/>
        </w:rPr>
      </w:pPr>
    </w:p>
    <w:p w14:paraId="4F7E52BF" w14:textId="77777777" w:rsidR="00B20398" w:rsidRDefault="00000000">
      <w:pPr>
        <w:numPr>
          <w:ilvl w:val="0"/>
          <w:numId w:val="3"/>
        </w:numPr>
        <w:tabs>
          <w:tab w:val="left" w:pos="720"/>
        </w:tabs>
        <w:spacing w:line="287" w:lineRule="auto"/>
        <w:ind w:left="720" w:hanging="360"/>
        <w:rPr>
          <w:rFonts w:ascii="Arial" w:eastAsia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przedstawienia kart, świadectw deklaracji potwierdzających pochodzenie, jakość, bezpieczeństwo zastosowanych materiałów, urządzeń itp.,</w:t>
      </w:r>
    </w:p>
    <w:p w14:paraId="3C3937EA" w14:textId="77777777" w:rsidR="00B20398" w:rsidRDefault="00000000">
      <w:pPr>
        <w:numPr>
          <w:ilvl w:val="0"/>
          <w:numId w:val="3"/>
        </w:numPr>
        <w:tabs>
          <w:tab w:val="left" w:pos="720"/>
        </w:tabs>
        <w:ind w:left="720" w:hanging="360"/>
        <w:rPr>
          <w:rFonts w:ascii="Arial" w:eastAsia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prowadzenia segregacji odpadów w trakcie budowy,</w:t>
      </w:r>
    </w:p>
    <w:p w14:paraId="7A22CD44" w14:textId="77777777" w:rsidR="00B20398" w:rsidRDefault="00B20398">
      <w:pPr>
        <w:spacing w:line="52" w:lineRule="exact"/>
        <w:rPr>
          <w:rFonts w:ascii="Arial" w:eastAsia="Arial" w:hAnsi="Arial" w:cs="Arial"/>
          <w:sz w:val="24"/>
          <w:szCs w:val="24"/>
        </w:rPr>
      </w:pPr>
    </w:p>
    <w:p w14:paraId="2429B1ED" w14:textId="77777777" w:rsidR="00B20398" w:rsidRDefault="00000000">
      <w:pPr>
        <w:numPr>
          <w:ilvl w:val="0"/>
          <w:numId w:val="3"/>
        </w:numPr>
        <w:tabs>
          <w:tab w:val="left" w:pos="720"/>
        </w:tabs>
        <w:ind w:left="720" w:hanging="360"/>
        <w:rPr>
          <w:rFonts w:ascii="Arial" w:eastAsia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uporządkowania placu budowy po zakończeniu robót,</w:t>
      </w:r>
    </w:p>
    <w:p w14:paraId="6E9B8D43" w14:textId="77777777" w:rsidR="00B20398" w:rsidRDefault="00B20398">
      <w:pPr>
        <w:spacing w:line="54" w:lineRule="exact"/>
        <w:rPr>
          <w:rFonts w:ascii="Arial" w:eastAsia="Arial" w:hAnsi="Arial" w:cs="Arial"/>
          <w:sz w:val="24"/>
          <w:szCs w:val="24"/>
        </w:rPr>
      </w:pPr>
    </w:p>
    <w:p w14:paraId="60873E12" w14:textId="77777777" w:rsidR="00B20398" w:rsidRDefault="00000000">
      <w:pPr>
        <w:numPr>
          <w:ilvl w:val="0"/>
          <w:numId w:val="3"/>
        </w:numPr>
        <w:tabs>
          <w:tab w:val="left" w:pos="720"/>
        </w:tabs>
        <w:spacing w:line="287" w:lineRule="auto"/>
        <w:ind w:left="720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usunięcia powstałych w czasie wykonywania robót odpadów w sposób zgodny z zapisami Ustawy o Odpadach oraz Ustawy o utrzymaniu czystości i porządku w gminach,</w:t>
      </w:r>
    </w:p>
    <w:p w14:paraId="3F6526C2" w14:textId="77777777" w:rsidR="00B20398" w:rsidRDefault="00000000">
      <w:pPr>
        <w:numPr>
          <w:ilvl w:val="0"/>
          <w:numId w:val="3"/>
        </w:numPr>
        <w:tabs>
          <w:tab w:val="left" w:pos="720"/>
        </w:tabs>
        <w:spacing w:line="287" w:lineRule="auto"/>
        <w:ind w:left="720" w:hanging="360"/>
        <w:rPr>
          <w:rFonts w:ascii="Arial" w:eastAsia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prowadzenia działań skutecznie zapobiegających emisji hałasu, kurzu i zanieczyszczeń w trakcie budowy,</w:t>
      </w:r>
    </w:p>
    <w:p w14:paraId="268CC1BC" w14:textId="77777777" w:rsidR="00B20398" w:rsidRDefault="00000000">
      <w:pPr>
        <w:numPr>
          <w:ilvl w:val="0"/>
          <w:numId w:val="3"/>
        </w:numPr>
        <w:tabs>
          <w:tab w:val="left" w:pos="720"/>
        </w:tabs>
        <w:ind w:left="720" w:hanging="360"/>
        <w:rPr>
          <w:rFonts w:ascii="Arial" w:eastAsia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prowadzenia prac w porze dziennej,</w:t>
      </w:r>
    </w:p>
    <w:p w14:paraId="00F11A4C" w14:textId="77777777" w:rsidR="00B20398" w:rsidRDefault="00B20398">
      <w:pPr>
        <w:spacing w:line="54" w:lineRule="exact"/>
        <w:rPr>
          <w:rFonts w:ascii="Arial" w:eastAsia="Arial" w:hAnsi="Arial" w:cs="Arial"/>
          <w:sz w:val="24"/>
          <w:szCs w:val="24"/>
        </w:rPr>
      </w:pPr>
    </w:p>
    <w:p w14:paraId="3C8A96A6" w14:textId="77777777" w:rsidR="00B20398" w:rsidRDefault="00000000">
      <w:pPr>
        <w:numPr>
          <w:ilvl w:val="0"/>
          <w:numId w:val="3"/>
        </w:numPr>
        <w:tabs>
          <w:tab w:val="left" w:pos="720"/>
        </w:tabs>
        <w:ind w:left="720" w:hanging="360"/>
        <w:rPr>
          <w:rFonts w:ascii="Arial" w:eastAsia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budowy, utrzymania i rozbiórki zaplecza budowy,</w:t>
      </w:r>
    </w:p>
    <w:p w14:paraId="2BC22B42" w14:textId="77777777" w:rsidR="00B20398" w:rsidRDefault="00B20398">
      <w:pPr>
        <w:spacing w:line="52" w:lineRule="exact"/>
        <w:rPr>
          <w:rFonts w:ascii="Arial" w:eastAsia="Arial" w:hAnsi="Arial" w:cs="Arial"/>
          <w:sz w:val="24"/>
          <w:szCs w:val="24"/>
        </w:rPr>
      </w:pPr>
    </w:p>
    <w:p w14:paraId="530256D2" w14:textId="77777777" w:rsidR="00B20398" w:rsidRDefault="00000000">
      <w:pPr>
        <w:numPr>
          <w:ilvl w:val="0"/>
          <w:numId w:val="3"/>
        </w:numPr>
        <w:tabs>
          <w:tab w:val="left" w:pos="720"/>
        </w:tabs>
        <w:ind w:left="720" w:hanging="360"/>
        <w:rPr>
          <w:rFonts w:ascii="Arial" w:eastAsia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zabezpieczenia i ochrony placu budowy,</w:t>
      </w:r>
    </w:p>
    <w:p w14:paraId="1BC999F2" w14:textId="77777777" w:rsidR="00B20398" w:rsidRDefault="00B20398">
      <w:pPr>
        <w:spacing w:line="54" w:lineRule="exact"/>
        <w:rPr>
          <w:rFonts w:ascii="Arial" w:eastAsia="Arial" w:hAnsi="Arial" w:cs="Arial"/>
          <w:sz w:val="24"/>
          <w:szCs w:val="24"/>
        </w:rPr>
      </w:pPr>
    </w:p>
    <w:p w14:paraId="2023A2B8" w14:textId="77777777" w:rsidR="00B20398" w:rsidRDefault="00000000">
      <w:pPr>
        <w:numPr>
          <w:ilvl w:val="0"/>
          <w:numId w:val="3"/>
        </w:numPr>
        <w:tabs>
          <w:tab w:val="left" w:pos="720"/>
        </w:tabs>
        <w:ind w:left="720" w:hanging="360"/>
        <w:rPr>
          <w:rFonts w:ascii="Arial" w:eastAsia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>zabezpieczenia mienia zgromadzonego na placu budowy.</w:t>
      </w:r>
    </w:p>
    <w:p w14:paraId="12264377" w14:textId="77777777" w:rsidR="00B20398" w:rsidRDefault="00B20398">
      <w:pPr>
        <w:sectPr w:rsidR="00B20398">
          <w:headerReference w:type="default" r:id="rId9"/>
          <w:pgSz w:w="11900" w:h="16838"/>
          <w:pgMar w:top="1100" w:right="1426" w:bottom="596" w:left="1420" w:header="0" w:footer="0" w:gutter="0"/>
          <w:cols w:space="708" w:equalWidth="0">
            <w:col w:w="9060"/>
          </w:cols>
        </w:sectPr>
      </w:pPr>
    </w:p>
    <w:p w14:paraId="60F6DECE" w14:textId="77777777" w:rsidR="00B20398" w:rsidRDefault="00B20398">
      <w:pPr>
        <w:spacing w:line="200" w:lineRule="exact"/>
        <w:rPr>
          <w:rFonts w:eastAsia="Times New Roman"/>
          <w:sz w:val="24"/>
          <w:szCs w:val="24"/>
        </w:rPr>
      </w:pPr>
    </w:p>
    <w:p w14:paraId="79CE75F9" w14:textId="77777777" w:rsidR="00B20398" w:rsidRDefault="00B20398">
      <w:pPr>
        <w:spacing w:line="200" w:lineRule="exact"/>
        <w:rPr>
          <w:rFonts w:eastAsia="Times New Roman"/>
          <w:sz w:val="24"/>
          <w:szCs w:val="24"/>
        </w:rPr>
      </w:pPr>
    </w:p>
    <w:p w14:paraId="0090DC4E" w14:textId="77777777" w:rsidR="00B20398" w:rsidRDefault="00B20398">
      <w:pPr>
        <w:spacing w:line="200" w:lineRule="exact"/>
        <w:rPr>
          <w:rFonts w:eastAsia="Times New Roman"/>
          <w:sz w:val="24"/>
          <w:szCs w:val="24"/>
        </w:rPr>
      </w:pPr>
    </w:p>
    <w:p w14:paraId="177B8BEA" w14:textId="18518E47" w:rsidR="00B20398" w:rsidRDefault="00000000">
      <w:pPr>
        <w:rPr>
          <w:sz w:val="20"/>
          <w:szCs w:val="20"/>
        </w:rPr>
      </w:pPr>
      <w:bookmarkStart w:id="0" w:name="_Hlk193273078"/>
      <w:r>
        <w:rPr>
          <w:rFonts w:eastAsia="Times New Roman"/>
          <w:b/>
          <w:bCs/>
          <w:i/>
          <w:iCs/>
          <w:sz w:val="15"/>
          <w:szCs w:val="15"/>
        </w:rPr>
        <w:t xml:space="preserve">Znak sprawy: </w:t>
      </w:r>
      <w:bookmarkEnd w:id="0"/>
      <w:r w:rsidR="00143D79">
        <w:rPr>
          <w:rFonts w:eastAsia="Times New Roman"/>
          <w:b/>
          <w:bCs/>
          <w:i/>
          <w:iCs/>
          <w:sz w:val="15"/>
          <w:szCs w:val="15"/>
        </w:rPr>
        <w:t>ZPR/0</w:t>
      </w:r>
      <w:r w:rsidR="00574541">
        <w:rPr>
          <w:rFonts w:eastAsia="Times New Roman"/>
          <w:b/>
          <w:bCs/>
          <w:i/>
          <w:iCs/>
          <w:sz w:val="15"/>
          <w:szCs w:val="15"/>
        </w:rPr>
        <w:t>3</w:t>
      </w:r>
      <w:r w:rsidR="00143D79">
        <w:rPr>
          <w:rFonts w:eastAsia="Times New Roman"/>
          <w:b/>
          <w:bCs/>
          <w:i/>
          <w:iCs/>
          <w:sz w:val="15"/>
          <w:szCs w:val="15"/>
        </w:rPr>
        <w:t>/25</w:t>
      </w:r>
    </w:p>
    <w:sectPr w:rsidR="00B20398">
      <w:type w:val="continuous"/>
      <w:pgSz w:w="11900" w:h="16838"/>
      <w:pgMar w:top="1100" w:right="1426" w:bottom="596" w:left="1420" w:header="0" w:footer="0" w:gutter="0"/>
      <w:cols w:space="708" w:equalWidth="0">
        <w:col w:w="90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AF2E4" w14:textId="77777777" w:rsidR="00CA6348" w:rsidRDefault="00CA6348" w:rsidP="00F929B5">
      <w:r>
        <w:separator/>
      </w:r>
    </w:p>
  </w:endnote>
  <w:endnote w:type="continuationSeparator" w:id="0">
    <w:p w14:paraId="4C8174EA" w14:textId="77777777" w:rsidR="00CA6348" w:rsidRDefault="00CA6348" w:rsidP="00F9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8CBDC" w14:textId="77777777" w:rsidR="00CA6348" w:rsidRDefault="00CA6348" w:rsidP="00F929B5">
      <w:r>
        <w:separator/>
      </w:r>
    </w:p>
  </w:footnote>
  <w:footnote w:type="continuationSeparator" w:id="0">
    <w:p w14:paraId="45134DFC" w14:textId="77777777" w:rsidR="00CA6348" w:rsidRDefault="00CA6348" w:rsidP="00F92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116E8" w14:textId="77777777" w:rsidR="00642EFA" w:rsidRDefault="00642EFA">
    <w:pPr>
      <w:pStyle w:val="Nagwek"/>
    </w:pPr>
  </w:p>
  <w:p w14:paraId="2D4080D8" w14:textId="5E4782C8" w:rsidR="00F929B5" w:rsidRDefault="00642EFA">
    <w:pPr>
      <w:pStyle w:val="Nagwek"/>
    </w:pPr>
    <w:r w:rsidRPr="00CA5549">
      <w:rPr>
        <w:noProof/>
      </w:rPr>
      <w:drawing>
        <wp:inline distT="0" distB="0" distL="0" distR="0" wp14:anchorId="483DDE27" wp14:editId="1010FE8F">
          <wp:extent cx="5749290" cy="579941"/>
          <wp:effectExtent l="0" t="0" r="3810" b="0"/>
          <wp:docPr id="6999608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5799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95CFF"/>
    <w:multiLevelType w:val="hybridMultilevel"/>
    <w:tmpl w:val="A93C02C6"/>
    <w:lvl w:ilvl="0" w:tplc="D952D50A">
      <w:start w:val="1"/>
      <w:numFmt w:val="bullet"/>
      <w:lvlText w:val="•"/>
      <w:lvlJc w:val="left"/>
    </w:lvl>
    <w:lvl w:ilvl="1" w:tplc="8D64D3F2">
      <w:numFmt w:val="decimal"/>
      <w:lvlText w:val=""/>
      <w:lvlJc w:val="left"/>
    </w:lvl>
    <w:lvl w:ilvl="2" w:tplc="9B5C9148">
      <w:numFmt w:val="decimal"/>
      <w:lvlText w:val=""/>
      <w:lvlJc w:val="left"/>
    </w:lvl>
    <w:lvl w:ilvl="3" w:tplc="22347F98">
      <w:numFmt w:val="decimal"/>
      <w:lvlText w:val=""/>
      <w:lvlJc w:val="left"/>
    </w:lvl>
    <w:lvl w:ilvl="4" w:tplc="4F8AEE7E">
      <w:numFmt w:val="decimal"/>
      <w:lvlText w:val=""/>
      <w:lvlJc w:val="left"/>
    </w:lvl>
    <w:lvl w:ilvl="5" w:tplc="12EAFF64">
      <w:numFmt w:val="decimal"/>
      <w:lvlText w:val=""/>
      <w:lvlJc w:val="left"/>
    </w:lvl>
    <w:lvl w:ilvl="6" w:tplc="3CD2B336">
      <w:numFmt w:val="decimal"/>
      <w:lvlText w:val=""/>
      <w:lvlJc w:val="left"/>
    </w:lvl>
    <w:lvl w:ilvl="7" w:tplc="BF2A353E">
      <w:numFmt w:val="decimal"/>
      <w:lvlText w:val=""/>
      <w:lvlJc w:val="left"/>
    </w:lvl>
    <w:lvl w:ilvl="8" w:tplc="F9C83338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234C7260"/>
    <w:lvl w:ilvl="0" w:tplc="709A26C4">
      <w:start w:val="1"/>
      <w:numFmt w:val="decimal"/>
      <w:lvlText w:val="%1)"/>
      <w:lvlJc w:val="left"/>
    </w:lvl>
    <w:lvl w:ilvl="1" w:tplc="A1DE4CC4">
      <w:numFmt w:val="decimal"/>
      <w:lvlText w:val=""/>
      <w:lvlJc w:val="left"/>
    </w:lvl>
    <w:lvl w:ilvl="2" w:tplc="823A5B94">
      <w:numFmt w:val="decimal"/>
      <w:lvlText w:val=""/>
      <w:lvlJc w:val="left"/>
    </w:lvl>
    <w:lvl w:ilvl="3" w:tplc="D7B28820">
      <w:numFmt w:val="decimal"/>
      <w:lvlText w:val=""/>
      <w:lvlJc w:val="left"/>
    </w:lvl>
    <w:lvl w:ilvl="4" w:tplc="D7685B64">
      <w:numFmt w:val="decimal"/>
      <w:lvlText w:val=""/>
      <w:lvlJc w:val="left"/>
    </w:lvl>
    <w:lvl w:ilvl="5" w:tplc="8DA8E938">
      <w:numFmt w:val="decimal"/>
      <w:lvlText w:val=""/>
      <w:lvlJc w:val="left"/>
    </w:lvl>
    <w:lvl w:ilvl="6" w:tplc="A66C285E">
      <w:numFmt w:val="decimal"/>
      <w:lvlText w:val=""/>
      <w:lvlJc w:val="left"/>
    </w:lvl>
    <w:lvl w:ilvl="7" w:tplc="F1DE90D0">
      <w:numFmt w:val="decimal"/>
      <w:lvlText w:val=""/>
      <w:lvlJc w:val="left"/>
    </w:lvl>
    <w:lvl w:ilvl="8" w:tplc="0A5E283C">
      <w:numFmt w:val="decimal"/>
      <w:lvlText w:val=""/>
      <w:lvlJc w:val="left"/>
    </w:lvl>
  </w:abstractNum>
  <w:abstractNum w:abstractNumId="2" w15:restartNumberingAfterBreak="0">
    <w:nsid w:val="74B0DC51"/>
    <w:multiLevelType w:val="hybridMultilevel"/>
    <w:tmpl w:val="74102694"/>
    <w:lvl w:ilvl="0" w:tplc="888E311E">
      <w:start w:val="1"/>
      <w:numFmt w:val="lowerLetter"/>
      <w:lvlText w:val="%1)"/>
      <w:lvlJc w:val="left"/>
    </w:lvl>
    <w:lvl w:ilvl="1" w:tplc="D06447E2">
      <w:numFmt w:val="decimal"/>
      <w:lvlText w:val=""/>
      <w:lvlJc w:val="left"/>
    </w:lvl>
    <w:lvl w:ilvl="2" w:tplc="038C6BE2">
      <w:numFmt w:val="decimal"/>
      <w:lvlText w:val=""/>
      <w:lvlJc w:val="left"/>
    </w:lvl>
    <w:lvl w:ilvl="3" w:tplc="2AC8C5FE">
      <w:numFmt w:val="decimal"/>
      <w:lvlText w:val=""/>
      <w:lvlJc w:val="left"/>
    </w:lvl>
    <w:lvl w:ilvl="4" w:tplc="2848A98A">
      <w:numFmt w:val="decimal"/>
      <w:lvlText w:val=""/>
      <w:lvlJc w:val="left"/>
    </w:lvl>
    <w:lvl w:ilvl="5" w:tplc="AF62F184">
      <w:numFmt w:val="decimal"/>
      <w:lvlText w:val=""/>
      <w:lvlJc w:val="left"/>
    </w:lvl>
    <w:lvl w:ilvl="6" w:tplc="E1D6810C">
      <w:numFmt w:val="decimal"/>
      <w:lvlText w:val=""/>
      <w:lvlJc w:val="left"/>
    </w:lvl>
    <w:lvl w:ilvl="7" w:tplc="1FBCE248">
      <w:numFmt w:val="decimal"/>
      <w:lvlText w:val=""/>
      <w:lvlJc w:val="left"/>
    </w:lvl>
    <w:lvl w:ilvl="8" w:tplc="8BC6ADF4">
      <w:numFmt w:val="decimal"/>
      <w:lvlText w:val=""/>
      <w:lvlJc w:val="left"/>
    </w:lvl>
  </w:abstractNum>
  <w:num w:numId="1" w16cid:durableId="437023803">
    <w:abstractNumId w:val="1"/>
  </w:num>
  <w:num w:numId="2" w16cid:durableId="1257405796">
    <w:abstractNumId w:val="2"/>
  </w:num>
  <w:num w:numId="3" w16cid:durableId="636761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398"/>
    <w:rsid w:val="00143D79"/>
    <w:rsid w:val="002E0B00"/>
    <w:rsid w:val="00574541"/>
    <w:rsid w:val="00642EFA"/>
    <w:rsid w:val="008556C5"/>
    <w:rsid w:val="009545F0"/>
    <w:rsid w:val="00A218E9"/>
    <w:rsid w:val="00B20398"/>
    <w:rsid w:val="00B46A79"/>
    <w:rsid w:val="00CA6348"/>
    <w:rsid w:val="00D34885"/>
    <w:rsid w:val="00F9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57990"/>
  <w15:docId w15:val="{24DCE6E4-D3D7-4FE7-AC64-5E9F7173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9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29B5"/>
  </w:style>
  <w:style w:type="paragraph" w:styleId="Stopka">
    <w:name w:val="footer"/>
    <w:basedOn w:val="Normalny"/>
    <w:link w:val="StopkaZnak"/>
    <w:uiPriority w:val="99"/>
    <w:unhideWhenUsed/>
    <w:rsid w:val="00F929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2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?uri=CELEX%3A32020R085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PL/TXT/?uri=CELEX%3A32021R024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ZAMOWIENIA_01</cp:lastModifiedBy>
  <cp:revision>5</cp:revision>
  <dcterms:created xsi:type="dcterms:W3CDTF">2025-03-19T10:35:00Z</dcterms:created>
  <dcterms:modified xsi:type="dcterms:W3CDTF">2025-10-30T13:16:00Z</dcterms:modified>
</cp:coreProperties>
</file>